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D7B" w:rsidRPr="007A07C0" w:rsidRDefault="00BC3D7B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7A07C0">
        <w:rPr>
          <w:rFonts w:ascii="Arial" w:hAnsi="Arial" w:cs="Arial"/>
          <w:b/>
          <w:sz w:val="24"/>
          <w:szCs w:val="24"/>
        </w:rPr>
        <w:t>Bibliografía para debate de salud</w:t>
      </w:r>
    </w:p>
    <w:p w:rsidR="00BC3D7B" w:rsidRPr="007A07C0" w:rsidRDefault="00BC3D7B">
      <w:pPr>
        <w:rPr>
          <w:rFonts w:ascii="Arial" w:hAnsi="Arial" w:cs="Arial"/>
          <w:b/>
          <w:sz w:val="24"/>
          <w:szCs w:val="24"/>
        </w:rPr>
      </w:pPr>
    </w:p>
    <w:p w:rsidR="009F02CF" w:rsidRPr="009F02CF" w:rsidRDefault="009F02CF" w:rsidP="009F02C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CL"/>
        </w:rPr>
      </w:pPr>
      <w:r w:rsidRPr="009F02CF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C</w:t>
      </w:r>
      <w:r w:rsidR="008046DF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uyul</w:t>
      </w:r>
      <w:r w:rsidRPr="009F02CF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, A. (2012) Salud intercultural y la patrimonialización de la Salud Mapuche en Chile. En Historia, colonialismo y resistencia desde el país Mapuche. Comunidad de Historia Mapuche, Temuco. </w:t>
      </w:r>
    </w:p>
    <w:p w:rsidR="009F02CF" w:rsidRPr="009F02CF" w:rsidRDefault="009F02CF" w:rsidP="009F02C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CL"/>
        </w:rPr>
      </w:pPr>
    </w:p>
    <w:p w:rsidR="009F02CF" w:rsidRPr="009F02CF" w:rsidRDefault="009F02CF" w:rsidP="009F02C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CL"/>
        </w:rPr>
      </w:pPr>
      <w:r w:rsidRPr="009F02CF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C</w:t>
      </w:r>
      <w:r w:rsidR="008046DF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uyul</w:t>
      </w:r>
      <w:r w:rsidRPr="009F02CF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, A. (2014) Machi terrorista o machi esterilizada: Persecución política y criminalización de autoridades tradicionales mapuche en Chile. Recuperado de: </w:t>
      </w:r>
      <w:hyperlink r:id="rId4" w:history="1">
        <w:r w:rsidRPr="007A07C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s-CL"/>
          </w:rPr>
          <w:t>https://publicacionrefractario.wordpress.com/2014/02/08/machi-terrorista-o-machi-esterilizada-persecucion-politica-y-criminalizacion-de-autoridades-tradicionales-mapuche-en-chile/</w:t>
        </w:r>
      </w:hyperlink>
    </w:p>
    <w:p w:rsidR="009F02CF" w:rsidRPr="007A07C0" w:rsidRDefault="009F02CF">
      <w:pPr>
        <w:rPr>
          <w:rFonts w:ascii="Arial" w:hAnsi="Arial" w:cs="Arial"/>
          <w:sz w:val="24"/>
          <w:szCs w:val="24"/>
        </w:rPr>
      </w:pPr>
      <w:r w:rsidRPr="007A07C0">
        <w:rPr>
          <w:rFonts w:ascii="Arial" w:hAnsi="Arial" w:cs="Arial"/>
          <w:sz w:val="24"/>
          <w:szCs w:val="24"/>
        </w:rPr>
        <w:t xml:space="preserve"> </w:t>
      </w:r>
    </w:p>
    <w:p w:rsidR="009F02CF" w:rsidRPr="007A07C0" w:rsidRDefault="00170555">
      <w:pPr>
        <w:rPr>
          <w:rFonts w:ascii="Arial" w:hAnsi="Arial" w:cs="Arial"/>
          <w:sz w:val="24"/>
          <w:szCs w:val="24"/>
        </w:rPr>
      </w:pPr>
      <w:r w:rsidRPr="007A07C0">
        <w:rPr>
          <w:rFonts w:ascii="Arial" w:hAnsi="Arial" w:cs="Arial"/>
          <w:sz w:val="24"/>
          <w:szCs w:val="24"/>
        </w:rPr>
        <w:t>Acosta, Cecilia y Heras Monner Sans, Ana Inés (Julio, 2015). Salud mental, asimetrías de poder-saber y heterotopías. Jornadas Internacionales"Discurso y poder: Foucault, las ciencias sociales y lo jurídico"(A cuarenta años de la publicación de "Vigilar y castigar"). UNLA, Lanús, Pcia. de Buenos Aires.</w:t>
      </w:r>
      <w:r w:rsidR="00BB1DA5" w:rsidRPr="007A07C0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="00BB1DA5" w:rsidRPr="007A07C0">
          <w:rPr>
            <w:rStyle w:val="Hipervnculo"/>
            <w:rFonts w:ascii="Arial" w:hAnsi="Arial" w:cs="Arial"/>
            <w:sz w:val="24"/>
            <w:szCs w:val="24"/>
          </w:rPr>
          <w:t>https://www.aacademica.org/ana.ines.heras/105.pdf</w:t>
        </w:r>
      </w:hyperlink>
    </w:p>
    <w:p w:rsidR="00BB1DA5" w:rsidRPr="007A07C0" w:rsidRDefault="00BB1DA5">
      <w:pPr>
        <w:rPr>
          <w:rFonts w:ascii="Arial" w:hAnsi="Arial" w:cs="Arial"/>
          <w:sz w:val="24"/>
          <w:szCs w:val="24"/>
        </w:rPr>
      </w:pPr>
      <w:r w:rsidRPr="007A07C0">
        <w:rPr>
          <w:rFonts w:ascii="Arial" w:hAnsi="Arial" w:cs="Arial"/>
          <w:sz w:val="24"/>
          <w:szCs w:val="24"/>
        </w:rPr>
        <w:t>Eduardo L. Menéndez. S</w:t>
      </w:r>
      <w:r w:rsidR="003873AD">
        <w:rPr>
          <w:rFonts w:ascii="Arial" w:hAnsi="Arial" w:cs="Arial"/>
          <w:sz w:val="24"/>
          <w:szCs w:val="24"/>
        </w:rPr>
        <w:t>alud pública</w:t>
      </w:r>
      <w:r w:rsidRPr="007A07C0">
        <w:rPr>
          <w:rFonts w:ascii="Arial" w:hAnsi="Arial" w:cs="Arial"/>
          <w:sz w:val="24"/>
          <w:szCs w:val="24"/>
        </w:rPr>
        <w:t xml:space="preserve">: </w:t>
      </w:r>
      <w:r w:rsidR="003873AD">
        <w:rPr>
          <w:rFonts w:ascii="Arial" w:hAnsi="Arial" w:cs="Arial"/>
          <w:sz w:val="24"/>
          <w:szCs w:val="24"/>
        </w:rPr>
        <w:t>Sector estatal, ciencia aplicada o ideología de lo posible</w:t>
      </w:r>
      <w:r w:rsidRPr="007A07C0">
        <w:rPr>
          <w:rFonts w:ascii="Arial" w:hAnsi="Arial" w:cs="Arial"/>
          <w:sz w:val="24"/>
          <w:szCs w:val="24"/>
        </w:rPr>
        <w:t xml:space="preserve"> </w:t>
      </w:r>
      <w:hyperlink r:id="rId6" w:history="1">
        <w:r w:rsidR="00720F6B" w:rsidRPr="007A07C0">
          <w:rPr>
            <w:rStyle w:val="Hipervnculo"/>
            <w:rFonts w:ascii="Arial" w:hAnsi="Arial" w:cs="Arial"/>
            <w:sz w:val="24"/>
            <w:szCs w:val="24"/>
          </w:rPr>
          <w:t>http://www.saludcolectiva-unr.com.ar/docs/SC-004.pdf</w:t>
        </w:r>
      </w:hyperlink>
    </w:p>
    <w:p w:rsidR="00720F6B" w:rsidRPr="007A07C0" w:rsidRDefault="00720F6B">
      <w:pPr>
        <w:rPr>
          <w:rFonts w:ascii="Arial" w:hAnsi="Arial" w:cs="Arial"/>
          <w:sz w:val="24"/>
          <w:szCs w:val="24"/>
        </w:rPr>
      </w:pPr>
      <w:r w:rsidRPr="007A07C0">
        <w:rPr>
          <w:rFonts w:ascii="Arial" w:hAnsi="Arial" w:cs="Arial"/>
          <w:sz w:val="24"/>
          <w:szCs w:val="24"/>
        </w:rPr>
        <w:t>Eduardo L. Menéndez (1994)</w:t>
      </w:r>
      <w:r w:rsidR="003873AD">
        <w:rPr>
          <w:rFonts w:ascii="Arial" w:hAnsi="Arial" w:cs="Arial"/>
          <w:sz w:val="24"/>
          <w:szCs w:val="24"/>
        </w:rPr>
        <w:t xml:space="preserve"> </w:t>
      </w:r>
      <w:r w:rsidRPr="007A07C0">
        <w:rPr>
          <w:rFonts w:ascii="Arial" w:hAnsi="Arial" w:cs="Arial"/>
          <w:sz w:val="24"/>
          <w:szCs w:val="24"/>
        </w:rPr>
        <w:t>Pr</w:t>
      </w:r>
      <w:r w:rsidR="003873AD">
        <w:rPr>
          <w:rFonts w:ascii="Arial" w:hAnsi="Arial" w:cs="Arial"/>
          <w:sz w:val="24"/>
          <w:szCs w:val="24"/>
        </w:rPr>
        <w:t>á</w:t>
      </w:r>
      <w:r w:rsidRPr="007A07C0">
        <w:rPr>
          <w:rFonts w:ascii="Arial" w:hAnsi="Arial" w:cs="Arial"/>
          <w:sz w:val="24"/>
          <w:szCs w:val="24"/>
        </w:rPr>
        <w:t xml:space="preserve">cticas populares, grupos indígenas y sector salud: Articulación cogestiva o los recursos de la pobreza. Publicar, año III (4). México. </w:t>
      </w:r>
    </w:p>
    <w:p w:rsidR="007A07C0" w:rsidRDefault="003873AD" w:rsidP="007D1785">
      <w:pPr>
        <w:pStyle w:val="Ttulo3"/>
        <w:shd w:val="clear" w:color="auto" w:fill="FFFFFF"/>
        <w:spacing w:before="300" w:beforeAutospacing="0" w:after="0" w:afterAutospacing="0" w:line="450" w:lineRule="atLeas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Varea, S. (2017) </w:t>
      </w:r>
      <w:r w:rsidR="007D1785" w:rsidRPr="007A07C0">
        <w:rPr>
          <w:rFonts w:ascii="Arial" w:hAnsi="Arial" w:cs="Arial"/>
          <w:b w:val="0"/>
          <w:sz w:val="24"/>
          <w:szCs w:val="24"/>
        </w:rPr>
        <w:t>Dinamicas territoriales del aborto delegaciones y disidencias en la provincia de Chimborazo</w:t>
      </w:r>
      <w:r>
        <w:rPr>
          <w:rFonts w:ascii="Arial" w:hAnsi="Arial" w:cs="Arial"/>
          <w:b w:val="0"/>
          <w:sz w:val="24"/>
          <w:szCs w:val="24"/>
        </w:rPr>
        <w:t xml:space="preserve">. DOI: </w:t>
      </w:r>
      <w:r w:rsidR="005C05B1" w:rsidRPr="005C05B1">
        <w:rPr>
          <w:rFonts w:ascii="Arial" w:hAnsi="Arial" w:cs="Arial"/>
          <w:b w:val="0"/>
          <w:sz w:val="24"/>
          <w:szCs w:val="24"/>
        </w:rPr>
        <w:t>https://doi.org/10.15446/cp.v12n24.65329</w:t>
      </w:r>
    </w:p>
    <w:p w:rsidR="007A07C0" w:rsidRPr="007A07C0" w:rsidRDefault="007A07C0" w:rsidP="007D1785">
      <w:pPr>
        <w:pStyle w:val="Ttulo3"/>
        <w:shd w:val="clear" w:color="auto" w:fill="FFFFFF"/>
        <w:spacing w:before="300" w:beforeAutospacing="0" w:after="0" w:afterAutospacing="0" w:line="450" w:lineRule="atLeast"/>
        <w:rPr>
          <w:rFonts w:ascii="Arial" w:hAnsi="Arial" w:cs="Arial"/>
          <w:b w:val="0"/>
          <w:sz w:val="24"/>
          <w:szCs w:val="24"/>
        </w:rPr>
      </w:pPr>
    </w:p>
    <w:p w:rsidR="007D1785" w:rsidRDefault="005C05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Defossez A. C., Fassin D. y Viveros M. (1992</w:t>
      </w:r>
      <w:proofErr w:type="gramStart"/>
      <w:r>
        <w:rPr>
          <w:rFonts w:ascii="Arial" w:hAnsi="Arial" w:cs="Arial"/>
          <w:sz w:val="24"/>
          <w:szCs w:val="24"/>
        </w:rPr>
        <w:t xml:space="preserve">)  </w:t>
      </w:r>
      <w:r w:rsidR="007D1785" w:rsidRPr="007A07C0">
        <w:rPr>
          <w:rFonts w:ascii="Arial" w:hAnsi="Arial" w:cs="Arial"/>
          <w:sz w:val="24"/>
          <w:szCs w:val="24"/>
        </w:rPr>
        <w:t>Mujer</w:t>
      </w:r>
      <w:proofErr w:type="gramEnd"/>
      <w:r w:rsidR="007D1785" w:rsidRPr="007A07C0">
        <w:rPr>
          <w:rFonts w:ascii="Arial" w:hAnsi="Arial" w:cs="Arial"/>
          <w:sz w:val="24"/>
          <w:szCs w:val="24"/>
        </w:rPr>
        <w:t xml:space="preserve"> de los andes</w:t>
      </w:r>
      <w:r>
        <w:rPr>
          <w:rFonts w:ascii="Arial" w:hAnsi="Arial" w:cs="Arial"/>
          <w:sz w:val="24"/>
          <w:szCs w:val="24"/>
        </w:rPr>
        <w:t xml:space="preserve">. Condiciones de vida y salud. </w:t>
      </w:r>
    </w:p>
    <w:p w:rsidR="005C05B1" w:rsidRDefault="005C05B1" w:rsidP="008046DF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Capitulos: </w:t>
      </w:r>
    </w:p>
    <w:p w:rsidR="005C05B1" w:rsidRPr="005C05B1" w:rsidRDefault="00BE444D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8046DF">
        <w:rPr>
          <w:rFonts w:ascii="Arial" w:hAnsi="Arial" w:cs="Arial"/>
          <w:sz w:val="24"/>
          <w:szCs w:val="24"/>
        </w:rPr>
        <w:tab/>
      </w:r>
      <w:r w:rsidR="005C05B1">
        <w:rPr>
          <w:rFonts w:ascii="Arial" w:hAnsi="Arial" w:cs="Arial"/>
          <w:sz w:val="24"/>
          <w:szCs w:val="24"/>
        </w:rPr>
        <w:t xml:space="preserve">Introducción: mujeres, salud y sociedad </w:t>
      </w:r>
      <w:r w:rsidR="005C05B1">
        <w:rPr>
          <w:rFonts w:ascii="Arial" w:hAnsi="Arial" w:cs="Arial"/>
          <w:i/>
          <w:sz w:val="24"/>
          <w:szCs w:val="24"/>
        </w:rPr>
        <w:t>Anne-Claire Defossez, Didier Fassin, Mara Viveros.</w:t>
      </w:r>
    </w:p>
    <w:p w:rsidR="005C05B1" w:rsidRDefault="00BE444D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8046DF">
        <w:rPr>
          <w:rFonts w:ascii="Arial" w:hAnsi="Arial" w:cs="Arial"/>
          <w:sz w:val="24"/>
          <w:szCs w:val="24"/>
        </w:rPr>
        <w:tab/>
      </w:r>
      <w:r w:rsidR="005C05B1">
        <w:rPr>
          <w:rFonts w:ascii="Arial" w:hAnsi="Arial" w:cs="Arial"/>
          <w:sz w:val="24"/>
          <w:szCs w:val="24"/>
        </w:rPr>
        <w:t>Las organizaciones f</w:t>
      </w:r>
      <w:r w:rsidR="00AC7A52">
        <w:rPr>
          <w:rFonts w:ascii="Arial" w:hAnsi="Arial" w:cs="Arial"/>
          <w:sz w:val="24"/>
          <w:szCs w:val="24"/>
        </w:rPr>
        <w:t>e</w:t>
      </w:r>
      <w:r w:rsidR="005C05B1">
        <w:rPr>
          <w:rFonts w:ascii="Arial" w:hAnsi="Arial" w:cs="Arial"/>
          <w:sz w:val="24"/>
          <w:szCs w:val="24"/>
        </w:rPr>
        <w:t xml:space="preserve">meninas populares y la salud de la mujer: ¿autoexplotación o promoción? Un estudio de caso en Bogotá. </w:t>
      </w:r>
      <w:r w:rsidR="005C05B1" w:rsidRPr="005C05B1">
        <w:rPr>
          <w:rFonts w:ascii="Arial" w:hAnsi="Arial" w:cs="Arial"/>
          <w:i/>
          <w:sz w:val="24"/>
          <w:szCs w:val="24"/>
        </w:rPr>
        <w:t>Mara Viveros</w:t>
      </w:r>
      <w:r w:rsidR="008046DF">
        <w:rPr>
          <w:rFonts w:ascii="Arial" w:hAnsi="Arial" w:cs="Arial"/>
          <w:i/>
          <w:sz w:val="24"/>
          <w:szCs w:val="24"/>
        </w:rPr>
        <w:t>.</w:t>
      </w:r>
    </w:p>
    <w:p w:rsidR="007A07C0" w:rsidRPr="007A07C0" w:rsidRDefault="008046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Acciones de las mujeres en defensa de su salud. El caso del centro Flora Tristan en Lima. </w:t>
      </w:r>
      <w:r>
        <w:rPr>
          <w:rFonts w:ascii="Arial" w:hAnsi="Arial" w:cs="Arial"/>
          <w:i/>
          <w:sz w:val="24"/>
          <w:szCs w:val="24"/>
        </w:rPr>
        <w:t>Nancy palomino Ramírez.</w:t>
      </w:r>
      <w:r w:rsidR="00BE444D">
        <w:rPr>
          <w:rFonts w:ascii="Arial" w:hAnsi="Arial" w:cs="Arial"/>
          <w:sz w:val="24"/>
          <w:szCs w:val="24"/>
        </w:rPr>
        <w:t xml:space="preserve">   </w:t>
      </w:r>
    </w:p>
    <w:sectPr w:rsidR="007A07C0" w:rsidRPr="007A07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D7B"/>
    <w:rsid w:val="00170555"/>
    <w:rsid w:val="003873AD"/>
    <w:rsid w:val="005C05B1"/>
    <w:rsid w:val="00684DC3"/>
    <w:rsid w:val="00720F6B"/>
    <w:rsid w:val="007A07C0"/>
    <w:rsid w:val="007D1785"/>
    <w:rsid w:val="008046DF"/>
    <w:rsid w:val="009F02CF"/>
    <w:rsid w:val="00AC7A52"/>
    <w:rsid w:val="00BB1DA5"/>
    <w:rsid w:val="00BC3D7B"/>
    <w:rsid w:val="00BE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9082C"/>
  <w15:chartTrackingRefBased/>
  <w15:docId w15:val="{044AE7DA-6F3C-4E12-B63B-F10F99504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7D17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0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Hipervnculo">
    <w:name w:val="Hyperlink"/>
    <w:basedOn w:val="Fuentedeprrafopredeter"/>
    <w:uiPriority w:val="99"/>
    <w:unhideWhenUsed/>
    <w:rsid w:val="009F02CF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B1DA5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rsid w:val="007D1785"/>
    <w:rPr>
      <w:rFonts w:ascii="Times New Roman" w:eastAsia="Times New Roman" w:hAnsi="Times New Roman" w:cs="Times New Roman"/>
      <w:b/>
      <w:bCs/>
      <w:sz w:val="27"/>
      <w:szCs w:val="27"/>
      <w:lang w:eastAsia="es-CL"/>
    </w:rPr>
  </w:style>
  <w:style w:type="character" w:styleId="Hipervnculovisitado">
    <w:name w:val="FollowedHyperlink"/>
    <w:basedOn w:val="Fuentedeprrafopredeter"/>
    <w:uiPriority w:val="99"/>
    <w:semiHidden/>
    <w:unhideWhenUsed/>
    <w:rsid w:val="003873A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0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aludcolectiva-unr.com.ar/docs/SC-004.pdf" TargetMode="External"/><Relationship Id="rId5" Type="http://schemas.openxmlformats.org/officeDocument/2006/relationships/hyperlink" Target="https://www.aacademica.org/ana.ines.heras/105.pdf" TargetMode="External"/><Relationship Id="rId4" Type="http://schemas.openxmlformats.org/officeDocument/2006/relationships/hyperlink" Target="https://publicacionrefractario.wordpress.com/2014/02/08/machi-terrorista-o-machi-esterilizada-persecucion-politica-y-criminalizacion-de-autoridades-tradicionales-mapuche-en-chile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336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Kibi Fran Vásquez</dc:creator>
  <cp:keywords/>
  <dc:description/>
  <cp:lastModifiedBy>Kibi Fran Vásquez</cp:lastModifiedBy>
  <cp:revision>5</cp:revision>
  <dcterms:created xsi:type="dcterms:W3CDTF">2018-10-05T14:29:00Z</dcterms:created>
  <dcterms:modified xsi:type="dcterms:W3CDTF">2018-10-08T15:05:00Z</dcterms:modified>
</cp:coreProperties>
</file>